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D" w:rsidRDefault="003B636D" w:rsidP="004865CC">
      <w:pPr>
        <w:jc w:val="center"/>
        <w:rPr>
          <w:rStyle w:val="markedcontent"/>
          <w:rFonts w:asciiTheme="minorHAnsi" w:hAnsiTheme="minorHAnsi" w:cstheme="minorHAnsi"/>
          <w:color w:val="000000" w:themeColor="text1"/>
          <w:sz w:val="30"/>
          <w:szCs w:val="30"/>
        </w:rPr>
      </w:pPr>
      <w:r w:rsidRPr="003B636D">
        <w:rPr>
          <w:rStyle w:val="markedcontent"/>
          <w:rFonts w:asciiTheme="minorHAnsi" w:hAnsiTheme="minorHAnsi" w:cstheme="minorHAnsi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1919605</wp:posOffset>
            </wp:positionH>
            <wp:positionV relativeFrom="paragraph">
              <wp:posOffset>-233045</wp:posOffset>
            </wp:positionV>
            <wp:extent cx="2000250" cy="628650"/>
            <wp:effectExtent l="19050" t="0" r="0" b="0"/>
            <wp:wrapNone/>
            <wp:docPr id="1" name="Obraz 1" descr="Urząd Miejski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ąd Miejski w Bytom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36D" w:rsidRDefault="003B636D" w:rsidP="003B636D">
      <w:pPr>
        <w:rPr>
          <w:rStyle w:val="markedcontent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4865CC" w:rsidRPr="003B636D" w:rsidRDefault="004865CC" w:rsidP="004865CC">
      <w:pPr>
        <w:jc w:val="center"/>
        <w:rPr>
          <w:rStyle w:val="markedcontent"/>
          <w:rFonts w:asciiTheme="minorHAnsi" w:hAnsiTheme="minorHAnsi" w:cstheme="minorHAnsi"/>
          <w:b/>
          <w:color w:val="2F5496" w:themeColor="accent1" w:themeShade="BF"/>
          <w:sz w:val="30"/>
          <w:szCs w:val="30"/>
        </w:rPr>
      </w:pPr>
      <w:r w:rsidRPr="003B636D">
        <w:rPr>
          <w:rStyle w:val="markedcontent"/>
          <w:rFonts w:asciiTheme="minorHAnsi" w:hAnsiTheme="minorHAnsi" w:cstheme="minorHAnsi"/>
          <w:b/>
          <w:color w:val="2F5496" w:themeColor="accent1" w:themeShade="BF"/>
          <w:sz w:val="30"/>
          <w:szCs w:val="30"/>
        </w:rPr>
        <w:t>SPRAWOZDANIE</w:t>
      </w:r>
    </w:p>
    <w:p w:rsidR="004865CC" w:rsidRPr="003B636D" w:rsidRDefault="004865CC" w:rsidP="004865CC">
      <w:pPr>
        <w:jc w:val="center"/>
        <w:rPr>
          <w:rStyle w:val="markedcontent"/>
          <w:rFonts w:asciiTheme="minorHAnsi" w:hAnsiTheme="minorHAnsi" w:cstheme="minorHAnsi"/>
          <w:b/>
          <w:color w:val="2F5496" w:themeColor="accent1" w:themeShade="BF"/>
          <w:sz w:val="30"/>
          <w:szCs w:val="30"/>
        </w:rPr>
      </w:pPr>
      <w:r w:rsidRPr="003B636D">
        <w:rPr>
          <w:rStyle w:val="markedcontent"/>
          <w:rFonts w:asciiTheme="minorHAnsi" w:hAnsiTheme="minorHAnsi" w:cstheme="minorHAnsi"/>
          <w:b/>
          <w:color w:val="2F5496" w:themeColor="accent1" w:themeShade="BF"/>
          <w:sz w:val="30"/>
          <w:szCs w:val="30"/>
        </w:rPr>
        <w:t>z przebiegu i wyników konsultacji projektu</w:t>
      </w:r>
    </w:p>
    <w:p w:rsidR="00B525CF" w:rsidRPr="007818C2" w:rsidRDefault="004865CC" w:rsidP="00B525CF">
      <w:pPr>
        <w:spacing w:after="360" w:line="259" w:lineRule="auto"/>
        <w:jc w:val="center"/>
        <w:rPr>
          <w:rStyle w:val="markedcontent"/>
          <w:rFonts w:asciiTheme="minorHAnsi" w:hAnsiTheme="minorHAnsi" w:cstheme="minorHAnsi"/>
          <w:color w:val="4472C4" w:themeColor="accent1"/>
        </w:rPr>
      </w:pPr>
      <w:r w:rsidRPr="007818C2">
        <w:rPr>
          <w:rFonts w:asciiTheme="minorHAnsi" w:hAnsiTheme="minorHAnsi" w:cstheme="minorHAnsi"/>
          <w:color w:val="4472C4" w:themeColor="accent1"/>
        </w:rPr>
        <w:t>podstawa prawna:  art. 6 ust. 4 ustawy z dnia 6 grudnia 2006 r.</w:t>
      </w:r>
      <w:r w:rsidR="001B2050" w:rsidRPr="007818C2">
        <w:rPr>
          <w:rFonts w:asciiTheme="minorHAnsi" w:hAnsiTheme="minorHAnsi" w:cstheme="minorHAnsi"/>
          <w:color w:val="4472C4" w:themeColor="accent1"/>
        </w:rPr>
        <w:br/>
      </w:r>
      <w:r w:rsidRPr="007818C2">
        <w:rPr>
          <w:rFonts w:asciiTheme="minorHAnsi" w:hAnsiTheme="minorHAnsi" w:cstheme="minorHAnsi"/>
          <w:color w:val="4472C4" w:themeColor="accent1"/>
        </w:rPr>
        <w:t xml:space="preserve"> o zasadach prowadzenia polityki rozwoju</w:t>
      </w:r>
    </w:p>
    <w:p w:rsidR="00B26118" w:rsidRPr="00793766" w:rsidRDefault="00B26118" w:rsidP="00793766">
      <w:pPr>
        <w:spacing w:before="120" w:after="120" w:line="276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79376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Konsultacje</w:t>
      </w:r>
      <w:r w:rsidR="00ED6B11" w:rsidRPr="0079376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projektu </w:t>
      </w:r>
      <w:r w:rsidRPr="0079376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ED6B11" w:rsidRPr="0079376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Strategii Rozwo</w:t>
      </w:r>
      <w:r w:rsidR="00D20A11" w:rsidRPr="0079376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ju Miasta Bytomia „Bytom 2030+”</w:t>
      </w:r>
      <w:r w:rsidR="00ED6B11" w:rsidRPr="0079376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Pr="0079376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przeprowadzone były w okresie od dnia 26 września 2022 r. do dnia 31 października 2022 r.</w:t>
      </w:r>
      <w:r w:rsidRPr="00793766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w formie:</w:t>
      </w:r>
    </w:p>
    <w:p w:rsidR="00C2088C" w:rsidRPr="003B636D" w:rsidRDefault="00B26118" w:rsidP="00793766">
      <w:pPr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</w:t>
      </w:r>
      <w:r w:rsidR="005E0EC2"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ebaty publicznej, która odbyła</w:t>
      </w: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się w budynku Urzędu Miejskiego w Bytomiu, </w:t>
      </w:r>
      <w:r w:rsidR="004049D9"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sali sesyjna w dniu </w:t>
      </w: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25</w:t>
      </w:r>
      <w:r w:rsidR="004049D9"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października 2022 r. </w:t>
      </w: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 godz. 17:00;</w:t>
      </w:r>
    </w:p>
    <w:p w:rsidR="00D20A11" w:rsidRPr="003B636D" w:rsidRDefault="00B26118" w:rsidP="00793766">
      <w:pPr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zbierania uwag w postaci papierowej lub elektronicznej, w tym za pomocą środków komunikacji elektronicznej, w szczególności poczty elektronicznej i formularza zamieszczonego na stronie podmiotowej gminy </w:t>
      </w:r>
      <w:hyperlink r:id="rId8" w:history="1">
        <w:r w:rsidRPr="003B636D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u w:val="single"/>
          </w:rPr>
          <w:t>www.bytom.pl</w:t>
        </w:r>
      </w:hyperlink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C2088C"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Biuletynie Informacji Publicznej </w:t>
      </w:r>
      <w:hyperlink r:id="rId9" w:history="1">
        <w:r w:rsidRPr="003B636D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u w:val="single"/>
          </w:rPr>
          <w:t>http://bip.um.bytom.pl/bip/</w:t>
        </w:r>
      </w:hyperlink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na platformie konsultacji </w:t>
      </w:r>
      <w:hyperlink r:id="rId10" w:history="1">
        <w:r w:rsidRPr="003B636D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u w:val="single"/>
          </w:rPr>
          <w:t>www.konsultacje.bytom.pl</w:t>
        </w:r>
      </w:hyperlink>
      <w:r w:rsidR="00D20A11"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C2088C" w:rsidRPr="003B636D" w:rsidRDefault="00B26118" w:rsidP="00793766">
      <w:pPr>
        <w:spacing w:before="120" w:after="12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Wypełnione formularze można </w:t>
      </w:r>
      <w:r w:rsidR="00C2088C"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było </w:t>
      </w: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dostarczyć:</w:t>
      </w:r>
    </w:p>
    <w:p w:rsidR="00B26118" w:rsidRPr="003B636D" w:rsidRDefault="00B26118" w:rsidP="00793766">
      <w:pPr>
        <w:numPr>
          <w:ilvl w:val="0"/>
          <w:numId w:val="7"/>
        </w:numPr>
        <w:spacing w:before="120" w:after="12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drogą elektroniczną na adres: </w:t>
      </w:r>
      <w:hyperlink r:id="rId11" w:history="1">
        <w:r w:rsidRPr="003B636D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u w:val="single"/>
          </w:rPr>
          <w:t>af@um.bytom.pl</w:t>
        </w:r>
      </w:hyperlink>
      <w:r w:rsidRPr="003B636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:rsidR="00B26118" w:rsidRPr="00793766" w:rsidRDefault="00B26118" w:rsidP="00793766">
      <w:pPr>
        <w:numPr>
          <w:ilvl w:val="0"/>
          <w:numId w:val="7"/>
        </w:numPr>
        <w:spacing w:before="120" w:after="12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93766">
        <w:rPr>
          <w:rFonts w:asciiTheme="minorHAnsi" w:eastAsia="Times New Roman" w:hAnsiTheme="minorHAnsi" w:cstheme="minorHAnsi"/>
          <w:color w:val="auto"/>
          <w:sz w:val="24"/>
          <w:szCs w:val="24"/>
        </w:rPr>
        <w:t>drogą korespondencyjną na adres: Wydział Strategii i Funduszy Europejskich i Obsługi Inwestora Urzędu Miejskiego w Bytomiu, 41-902 Bytom, ul. Parkowa 2;</w:t>
      </w:r>
    </w:p>
    <w:p w:rsidR="005F1DE4" w:rsidRPr="00793766" w:rsidRDefault="00B26118" w:rsidP="00793766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766">
        <w:rPr>
          <w:rFonts w:asciiTheme="minorHAnsi" w:eastAsia="Times New Roman" w:hAnsiTheme="minorHAnsi" w:cstheme="minorHAnsi"/>
          <w:color w:val="auto"/>
          <w:sz w:val="24"/>
          <w:szCs w:val="24"/>
        </w:rPr>
        <w:t>bezpośrednio do sekretariatu Wydziału Strategii i Funduszy Europejskich i Obsługi Inwestora Urzędu Miejskiego w Bytomiu</w:t>
      </w:r>
      <w:r w:rsidR="005E0EC2" w:rsidRPr="00793766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Pr="0079376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4865CC" w:rsidRPr="00793766" w:rsidRDefault="004865CC" w:rsidP="00793766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Ponadto skierowano pisma do gmin ościennych</w:t>
      </w:r>
      <w:r w:rsidR="00C2088C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95B1A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związków</w:t>
      </w:r>
      <w:r w:rsidR="00AB3572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GZM</w:t>
      </w:r>
      <w:r w:rsidR="00C2088C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wniosek </w:t>
      </w:r>
      <w:r w:rsidR="0079376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zaopiniowanie projektu Strategii do Zarządu Województwa </w:t>
      </w:r>
      <w:r w:rsidR="00695B1A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Śląskiego</w:t>
      </w: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Dyrektora Regionalnego Zarządu Gospodarki Wodnej Państwowego Gospodarstwa Wodnego Wody Polskie. </w:t>
      </w:r>
    </w:p>
    <w:p w:rsidR="003E6EF1" w:rsidRPr="00793766" w:rsidRDefault="00695B1A" w:rsidP="00793766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toku konsultacji </w:t>
      </w:r>
      <w:r w:rsidR="003E6EF1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 Województwa </w:t>
      </w:r>
      <w:r w:rsidR="00AB3572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Śląskiego</w:t>
      </w:r>
      <w:r w:rsidR="003E6EF1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, który zaopiniował przedstawiony projekt pozytywn</w:t>
      </w:r>
      <w:r w:rsidR="005E0EC2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3E6EF1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331C0D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natomiast </w:t>
      </w:r>
      <w:r w:rsidR="00843EEE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 Regionalnego Zarządu Gospodarki Wodnej Państwowego Gospodarstwa Wodnego Wody Polskie </w:t>
      </w:r>
      <w:r w:rsidR="005E0EC2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843EEE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wrócił uwagę na </w:t>
      </w:r>
      <w:r w:rsidR="007E5150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zapis</w:t>
      </w:r>
      <w:r w:rsidR="00843EEE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ustawy prawo wodne wskazując</w:t>
      </w:r>
      <w:r w:rsidR="005E0EC2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43EEE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zakres zagadnień</w:t>
      </w:r>
      <w:r w:rsidR="005E0EC2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43EEE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5150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jakie należy ująć w projekcie strategii. </w:t>
      </w:r>
    </w:p>
    <w:p w:rsidR="00B16A4B" w:rsidRPr="00793766" w:rsidRDefault="00B16A4B" w:rsidP="00793766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E23FCC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toku konsultacji skierowano również wniosek w zakresie </w:t>
      </w: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uzgodnień z właściwymi organami o odstąpieni</w:t>
      </w:r>
      <w:r w:rsidR="00E23FCC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przeprowadzania strategicznej oceny odziaływania na środowisko zgodnie z art. 48  ustawy z dnia 3 października 2008 r. o udostępnianiu informacji </w:t>
      </w:r>
      <w:r w:rsidR="0079376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o środowisku i jego ochronie, udziale społeczeństwa w ochronie środowiska oraz o ocenach oddziaływania na środowisko</w:t>
      </w:r>
      <w:r w:rsidR="00E23FCC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97371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>Organy te uzgodniły odstąpienie od przeprowadzenia Strategicznej oceny oddziaływania na środowisko</w:t>
      </w:r>
      <w:r w:rsidR="00E23FCC"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793766" w:rsidRDefault="004865CC" w:rsidP="00793766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Poniżej przedstawiono kluczowe, inne uwagi do projektu strategii wraz ze sposobem ich wykorzystania. </w:t>
      </w:r>
    </w:p>
    <w:p w:rsidR="003962BA" w:rsidRPr="00793766" w:rsidRDefault="004865CC" w:rsidP="00793766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634" w:type="dxa"/>
        <w:tblLook w:val="04A0"/>
      </w:tblPr>
      <w:tblGrid>
        <w:gridCol w:w="2122"/>
        <w:gridCol w:w="4252"/>
        <w:gridCol w:w="3260"/>
      </w:tblGrid>
      <w:tr w:rsidR="000354A7" w:rsidRPr="00C90BCA" w:rsidTr="00793766">
        <w:tc>
          <w:tcPr>
            <w:tcW w:w="2122" w:type="dxa"/>
            <w:vAlign w:val="center"/>
          </w:tcPr>
          <w:p w:rsidR="000354A7" w:rsidRPr="003B636D" w:rsidRDefault="000354A7" w:rsidP="00793766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3B636D">
              <w:rPr>
                <w:rFonts w:asciiTheme="minorHAnsi" w:hAnsiTheme="minorHAnsi" w:cstheme="minorHAnsi"/>
                <w:b/>
                <w:color w:val="4472C4" w:themeColor="accent1"/>
              </w:rPr>
              <w:t>Podmiot opiniujący</w:t>
            </w:r>
          </w:p>
        </w:tc>
        <w:tc>
          <w:tcPr>
            <w:tcW w:w="4252" w:type="dxa"/>
            <w:vAlign w:val="center"/>
          </w:tcPr>
          <w:p w:rsidR="000354A7" w:rsidRPr="003B636D" w:rsidRDefault="000354A7" w:rsidP="00793766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3B636D">
              <w:rPr>
                <w:rFonts w:asciiTheme="minorHAnsi" w:hAnsiTheme="minorHAnsi" w:cstheme="minorHAnsi"/>
                <w:b/>
                <w:color w:val="4472C4" w:themeColor="accent1"/>
              </w:rPr>
              <w:t>Zgłaszane opinie i uwagi</w:t>
            </w:r>
          </w:p>
        </w:tc>
        <w:tc>
          <w:tcPr>
            <w:tcW w:w="3260" w:type="dxa"/>
            <w:vAlign w:val="center"/>
          </w:tcPr>
          <w:p w:rsidR="000354A7" w:rsidRPr="003B636D" w:rsidRDefault="00331C0D" w:rsidP="00793766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3B636D">
              <w:rPr>
                <w:rFonts w:asciiTheme="minorHAnsi" w:hAnsiTheme="minorHAnsi" w:cstheme="minorHAnsi"/>
                <w:b/>
                <w:color w:val="4472C4" w:themeColor="accent1"/>
              </w:rPr>
              <w:t>Proponowany sposób wykorzystania uwagi</w:t>
            </w:r>
          </w:p>
        </w:tc>
      </w:tr>
      <w:tr w:rsidR="000354A7" w:rsidRPr="00C90BCA" w:rsidTr="00793766">
        <w:tc>
          <w:tcPr>
            <w:tcW w:w="2122" w:type="dxa"/>
          </w:tcPr>
          <w:p w:rsidR="000354A7" w:rsidRPr="00793766" w:rsidRDefault="006C5ACC" w:rsidP="004049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Osoba prywatna (poprze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formularz konsultacyjny)</w:t>
            </w:r>
          </w:p>
        </w:tc>
        <w:tc>
          <w:tcPr>
            <w:tcW w:w="4252" w:type="dxa"/>
          </w:tcPr>
          <w:p w:rsidR="00DA38AB" w:rsidRPr="00793766" w:rsidRDefault="00DA38AB" w:rsidP="0079376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Propozycja dodania kierunków:</w:t>
            </w:r>
          </w:p>
          <w:p w:rsidR="006C5ACC" w:rsidRPr="00793766" w:rsidRDefault="006C5ACC" w:rsidP="00793766">
            <w:pPr>
              <w:pStyle w:val="Akapitzlist"/>
              <w:numPr>
                <w:ilvl w:val="0"/>
                <w:numId w:val="8"/>
              </w:numPr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Ulokowanie w Bytomiu znaczącego ośrodka akademickiego oraz ośrodków badawczych, zdolnych do ogniskowania osób o twórczym potencjale i rozwiniętych ambicjach w centralnej, najłatwiej dostępnej komunikacyjnie części miasta.</w:t>
            </w:r>
          </w:p>
          <w:p w:rsidR="006C5ACC" w:rsidRPr="00793766" w:rsidRDefault="006C5ACC" w:rsidP="00793766">
            <w:pPr>
              <w:pStyle w:val="Akapitzlist"/>
              <w:numPr>
                <w:ilvl w:val="0"/>
                <w:numId w:val="8"/>
              </w:numPr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Ulokowanie w Bytomiu instytucji o poważnym znaczeniu regionalnym i ponadregionalnym</w:t>
            </w:r>
            <w:r w:rsidR="00793766" w:rsidRPr="007937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451E1" w:rsidRPr="00793766" w:rsidRDefault="000451E1" w:rsidP="00793766">
            <w:pPr>
              <w:pStyle w:val="Akapitzlist"/>
              <w:numPr>
                <w:ilvl w:val="0"/>
                <w:numId w:val="8"/>
              </w:numPr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Działania na rzecz ulokowania Bytomia na głównej osi kolei aglomeracyjnej</w:t>
            </w:r>
            <w:r w:rsidR="007818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Gliwice – Zabrze – Bytom – Chorzów Miasto – Katowice dzięki łącznikowi Bytom – Zabrze/Ruda Śląska. Dążenie do uwzględnienia miasta jako zwyczajowego przystanku na trasie Wrocław-Kraków (a także na trasie w kierunku Warszawy, Poznania i Trójmiasta), na wzór Gliwic i Zabrza.</w:t>
            </w:r>
          </w:p>
          <w:p w:rsidR="0037350C" w:rsidRPr="00793766" w:rsidRDefault="0037350C" w:rsidP="00793766">
            <w:pPr>
              <w:pStyle w:val="Akapitzlist"/>
              <w:numPr>
                <w:ilvl w:val="0"/>
                <w:numId w:val="8"/>
              </w:numPr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Wspieranie osiedlania się </w:t>
            </w:r>
            <w:r w:rsidRPr="0079376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i rozwoju rodzin poprzez maksymalizację dostępu dzieci do żłobków i przedszkoli.</w:t>
            </w:r>
          </w:p>
        </w:tc>
        <w:tc>
          <w:tcPr>
            <w:tcW w:w="3260" w:type="dxa"/>
          </w:tcPr>
          <w:p w:rsidR="00C35FE5" w:rsidRPr="00793766" w:rsidRDefault="00E6364A" w:rsidP="00793766">
            <w:pPr>
              <w:spacing w:line="25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Proponuje się dodać</w:t>
            </w:r>
            <w:r w:rsidR="00C35FE5" w:rsidRPr="0079376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35FE5" w:rsidRPr="00793766" w:rsidRDefault="00793766" w:rsidP="00793766">
            <w:pPr>
              <w:pStyle w:val="Akapitzlist"/>
              <w:numPr>
                <w:ilvl w:val="0"/>
                <w:numId w:val="8"/>
              </w:numPr>
              <w:spacing w:line="257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E6364A" w:rsidRPr="00793766">
              <w:rPr>
                <w:rFonts w:asciiTheme="minorHAnsi" w:hAnsiTheme="minorHAnsi" w:cstheme="minorHAnsi"/>
                <w:sz w:val="24"/>
                <w:szCs w:val="24"/>
              </w:rPr>
              <w:t>ierunek</w:t>
            </w:r>
            <w:r w:rsidR="00C35FE5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6364A" w:rsidRPr="00793766">
              <w:rPr>
                <w:rFonts w:asciiTheme="minorHAnsi" w:hAnsiTheme="minorHAnsi" w:cstheme="minorHAnsi"/>
                <w:sz w:val="24"/>
                <w:szCs w:val="24"/>
              </w:rPr>
              <w:t>dotyczący rozwoju funkcji akademickich w mieście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6364A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354A7" w:rsidRPr="00793766" w:rsidRDefault="00793766" w:rsidP="00793766">
            <w:pPr>
              <w:pStyle w:val="Akapitzlist"/>
              <w:numPr>
                <w:ilvl w:val="0"/>
                <w:numId w:val="8"/>
              </w:numPr>
              <w:spacing w:line="257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E6364A" w:rsidRPr="00793766">
              <w:rPr>
                <w:rFonts w:asciiTheme="minorHAnsi" w:hAnsiTheme="minorHAnsi" w:cstheme="minorHAnsi"/>
                <w:sz w:val="24"/>
                <w:szCs w:val="24"/>
              </w:rPr>
              <w:t>ierunek w zakresie promowania i podejmowania działań na rzecz lokalizacji w mieście instytucji o znaczeniu regionalnym i ponadregionalnym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6364A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C35FE5" w:rsidRPr="00793766" w:rsidRDefault="00793766" w:rsidP="00793766">
            <w:pPr>
              <w:pStyle w:val="Akapitzlist"/>
              <w:numPr>
                <w:ilvl w:val="0"/>
                <w:numId w:val="8"/>
              </w:numPr>
              <w:spacing w:line="257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C35FE5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ierunek </w:t>
            </w:r>
            <w:r w:rsidR="002D7947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: działania na rzecz znaczenia Bytomia jako ośrodka węzłowego w ruchu kolejowym o znaczeniu regionalnym i krajowym.  </w:t>
            </w:r>
          </w:p>
          <w:p w:rsidR="006A3B11" w:rsidRPr="00793766" w:rsidRDefault="00793766" w:rsidP="00793766">
            <w:pPr>
              <w:pStyle w:val="Akapitzlist"/>
              <w:numPr>
                <w:ilvl w:val="0"/>
                <w:numId w:val="8"/>
              </w:numPr>
              <w:spacing w:line="257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6A3B11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ierunek: poprawa dostępności do </w:t>
            </w:r>
            <w:r w:rsidR="00AA1667" w:rsidRPr="00793766">
              <w:rPr>
                <w:rFonts w:asciiTheme="minorHAnsi" w:hAnsiTheme="minorHAnsi" w:cstheme="minorHAnsi"/>
                <w:sz w:val="24"/>
                <w:szCs w:val="24"/>
              </w:rPr>
              <w:t>usług opieki nad dziecki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w tym żłobków i przedszkoli.</w:t>
            </w:r>
            <w:r w:rsidR="00AA1667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F1DE4" w:rsidRPr="00C90BCA" w:rsidTr="00E971B7">
        <w:tc>
          <w:tcPr>
            <w:tcW w:w="2122" w:type="dxa"/>
          </w:tcPr>
          <w:p w:rsidR="005F1DE4" w:rsidRPr="00793766" w:rsidRDefault="005F1DE4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Wody Polskie </w:t>
            </w:r>
          </w:p>
        </w:tc>
        <w:tc>
          <w:tcPr>
            <w:tcW w:w="4252" w:type="dxa"/>
          </w:tcPr>
          <w:p w:rsidR="005F1DE4" w:rsidRPr="00793766" w:rsidRDefault="005F1DE4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Wskazano zakre</w:t>
            </w:r>
            <w:r w:rsidR="004B45BA" w:rsidRPr="0079376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wynikający z ustawy </w:t>
            </w:r>
            <w:r w:rsidR="00793766">
              <w:rPr>
                <w:rFonts w:asciiTheme="minorHAnsi" w:hAnsiTheme="minorHAnsi" w:cstheme="minorHAnsi"/>
                <w:sz w:val="24"/>
                <w:szCs w:val="24"/>
              </w:rPr>
              <w:t>prawo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wodne</w:t>
            </w:r>
            <w:r w:rsidR="0079376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45BA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jaki należy brać pod </w:t>
            </w:r>
            <w:r w:rsidR="00793766">
              <w:rPr>
                <w:rFonts w:asciiTheme="minorHAnsi" w:hAnsiTheme="minorHAnsi" w:cstheme="minorHAnsi"/>
                <w:sz w:val="24"/>
                <w:szCs w:val="24"/>
              </w:rPr>
              <w:t>uwagę w przygotowaniu strategii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13B3" w:rsidRPr="00793766" w:rsidRDefault="00E413B3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100703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się 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dodanie </w:t>
            </w:r>
            <w:r w:rsidR="00D20A11" w:rsidRPr="00793766">
              <w:rPr>
                <w:rFonts w:asciiTheme="minorHAnsi" w:hAnsiTheme="minorHAnsi" w:cstheme="minorHAnsi"/>
                <w:sz w:val="24"/>
                <w:szCs w:val="24"/>
              </w:rPr>
              <w:t>m.in.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kierunków </w:t>
            </w:r>
            <w:r w:rsidR="007F670D" w:rsidRPr="00793766">
              <w:rPr>
                <w:rFonts w:asciiTheme="minorHAnsi" w:hAnsiTheme="minorHAnsi" w:cstheme="minorHAnsi"/>
                <w:sz w:val="24"/>
                <w:szCs w:val="24"/>
              </w:rPr>
              <w:t>dot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>yczących</w:t>
            </w:r>
            <w:r w:rsidR="00D20A11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71B7">
              <w:rPr>
                <w:rFonts w:asciiTheme="minorHAnsi" w:hAnsiTheme="minorHAnsi" w:cstheme="minorHAnsi"/>
                <w:sz w:val="24"/>
                <w:szCs w:val="24"/>
              </w:rPr>
              <w:t>aspektów gospodarki wodnej</w:t>
            </w:r>
            <w:r w:rsidR="007F670D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, przeciwpowodziowej 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oraz przeciwdziałania suszy. </w:t>
            </w:r>
          </w:p>
          <w:p w:rsidR="0071534C" w:rsidRPr="00793766" w:rsidRDefault="00E413B3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354A7" w:rsidRPr="00C90BCA" w:rsidTr="00E971B7">
        <w:tc>
          <w:tcPr>
            <w:tcW w:w="2122" w:type="dxa"/>
          </w:tcPr>
          <w:p w:rsidR="000354A7" w:rsidRPr="00793766" w:rsidRDefault="00C7175D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Górnośląsko-Zagłębiowska Metropolia </w:t>
            </w:r>
          </w:p>
        </w:tc>
        <w:tc>
          <w:tcPr>
            <w:tcW w:w="4252" w:type="dxa"/>
          </w:tcPr>
          <w:p w:rsidR="000354A7" w:rsidRPr="00793766" w:rsidRDefault="005C2034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C7175D" w:rsidRPr="00793766">
              <w:rPr>
                <w:rFonts w:asciiTheme="minorHAnsi" w:hAnsiTheme="minorHAnsi" w:cstheme="minorHAnsi"/>
                <w:sz w:val="24"/>
                <w:szCs w:val="24"/>
              </w:rPr>
              <w:t>jednoli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cić stosowanie nazwy: Górnoślą</w:t>
            </w:r>
            <w:r w:rsidR="00E971B7">
              <w:rPr>
                <w:rFonts w:asciiTheme="minorHAnsi" w:hAnsiTheme="minorHAnsi" w:cstheme="minorHAnsi"/>
                <w:sz w:val="24"/>
                <w:szCs w:val="24"/>
              </w:rPr>
              <w:t>sko-Zagłębiowska Metropolia GZM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54A7" w:rsidRPr="00793766" w:rsidRDefault="005C2034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została 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ujednolicona w tekście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354A7" w:rsidRPr="00C90BCA" w:rsidTr="00E971B7">
        <w:tc>
          <w:tcPr>
            <w:tcW w:w="2122" w:type="dxa"/>
          </w:tcPr>
          <w:p w:rsidR="000354A7" w:rsidRPr="00793766" w:rsidRDefault="00D138D4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Osoby prywatn</w:t>
            </w:r>
            <w:r w:rsidR="00387482" w:rsidRPr="0079376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(otwarte spotkanie  konsultacyjne) </w:t>
            </w:r>
          </w:p>
        </w:tc>
        <w:tc>
          <w:tcPr>
            <w:tcW w:w="4252" w:type="dxa"/>
          </w:tcPr>
          <w:p w:rsidR="00387482" w:rsidRPr="00793766" w:rsidRDefault="00D20A11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8167E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942EAD" w:rsidRPr="0079376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8167E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ku </w:t>
            </w:r>
            <w:r w:rsidR="00942EAD" w:rsidRPr="00793766">
              <w:rPr>
                <w:rFonts w:asciiTheme="minorHAnsi" w:hAnsiTheme="minorHAnsi" w:cstheme="minorHAnsi"/>
                <w:sz w:val="24"/>
                <w:szCs w:val="24"/>
              </w:rPr>
              <w:t>dyskusji</w:t>
            </w:r>
            <w:r w:rsidR="0008167E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poruszono </w:t>
            </w:r>
            <w:r w:rsidR="00942EAD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w głównej mierze </w:t>
            </w:r>
            <w:r w:rsidR="00387482" w:rsidRPr="00793766">
              <w:rPr>
                <w:rFonts w:asciiTheme="minorHAnsi" w:hAnsiTheme="minorHAnsi" w:cstheme="minorHAnsi"/>
                <w:sz w:val="24"/>
                <w:szCs w:val="24"/>
              </w:rPr>
              <w:t>kwestie:</w:t>
            </w:r>
          </w:p>
          <w:p w:rsidR="000354A7" w:rsidRDefault="00D138D4" w:rsidP="00E971B7">
            <w:pPr>
              <w:pStyle w:val="Akapitzlist"/>
              <w:numPr>
                <w:ilvl w:val="0"/>
                <w:numId w:val="8"/>
              </w:numPr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Relacj</w:t>
            </w:r>
            <w:r w:rsidR="00387482" w:rsidRPr="0079376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solidaryzmu społecznego </w:t>
            </w:r>
            <w:r w:rsidR="00D971C8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do kwestii </w:t>
            </w:r>
            <w:r w:rsidR="00D971C8" w:rsidRPr="00793766">
              <w:rPr>
                <w:rFonts w:asciiTheme="minorHAnsi" w:hAnsiTheme="minorHAnsi" w:cstheme="minorHAnsi"/>
                <w:bCs/>
                <w:sz w:val="24"/>
                <w:szCs w:val="24"/>
              </w:rPr>
              <w:t>związanych</w:t>
            </w:r>
            <w:r w:rsidR="00D971C8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z rozwojem infrastruktury i warunków życia w mieście. </w:t>
            </w:r>
            <w:r w:rsidR="00260DF4" w:rsidRPr="00793766">
              <w:rPr>
                <w:rFonts w:asciiTheme="minorHAnsi" w:hAnsiTheme="minorHAnsi" w:cstheme="minorHAnsi"/>
                <w:sz w:val="24"/>
                <w:szCs w:val="24"/>
              </w:rPr>
              <w:t>Kwestie</w:t>
            </w:r>
            <w:r w:rsidR="00FE25CB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związane z </w:t>
            </w:r>
            <w:r w:rsidR="00260DF4" w:rsidRPr="00793766">
              <w:rPr>
                <w:rFonts w:asciiTheme="minorHAnsi" w:hAnsiTheme="minorHAnsi" w:cstheme="minorHAnsi"/>
                <w:sz w:val="24"/>
                <w:szCs w:val="24"/>
              </w:rPr>
              <w:t>odpowiednimi</w:t>
            </w:r>
            <w:r w:rsidR="00FE25CB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warunkami powinny być </w:t>
            </w:r>
            <w:r w:rsidR="00D971C8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260DF4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pierwszym etapie a w dalszej kolejności działania związane z budową solidaryzmu. </w:t>
            </w:r>
          </w:p>
          <w:p w:rsidR="00E971B7" w:rsidRPr="00793766" w:rsidRDefault="00E971B7" w:rsidP="00E971B7">
            <w:pPr>
              <w:pStyle w:val="Akapitzlist"/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55B3" w:rsidRDefault="00942EAD" w:rsidP="00E971B7">
            <w:pPr>
              <w:pStyle w:val="Akapitzlist"/>
              <w:numPr>
                <w:ilvl w:val="0"/>
                <w:numId w:val="8"/>
              </w:numPr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Aspektów </w:t>
            </w:r>
            <w:r w:rsidR="009B1F9F" w:rsidRPr="00793766">
              <w:rPr>
                <w:rFonts w:asciiTheme="minorHAnsi" w:hAnsiTheme="minorHAnsi" w:cstheme="minorHAnsi"/>
                <w:sz w:val="24"/>
                <w:szCs w:val="24"/>
              </w:rPr>
              <w:t>związanych z innowacyjności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9B1F9F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, w tym w szczególności na </w:t>
            </w:r>
            <w:r w:rsidR="00D2382A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czym ma polegać </w:t>
            </w:r>
            <w:r w:rsidR="002F0E15" w:rsidRPr="00793766">
              <w:rPr>
                <w:rFonts w:asciiTheme="minorHAnsi" w:hAnsiTheme="minorHAnsi" w:cstheme="minorHAnsi"/>
                <w:sz w:val="24"/>
                <w:szCs w:val="24"/>
              </w:rPr>
              <w:t>innowacyjność miasta</w:t>
            </w:r>
            <w:r w:rsidR="00387482" w:rsidRPr="007937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P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7482" w:rsidRPr="00793766" w:rsidRDefault="009B4358" w:rsidP="00E971B7">
            <w:pPr>
              <w:pStyle w:val="Akapitzlist"/>
              <w:numPr>
                <w:ilvl w:val="0"/>
                <w:numId w:val="8"/>
              </w:numPr>
              <w:spacing w:line="276" w:lineRule="auto"/>
              <w:ind w:lef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Kluczow</w:t>
            </w:r>
            <w:r w:rsidR="009B1F9F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ych 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>aspekt</w:t>
            </w:r>
            <w:r w:rsidR="009B1F9F" w:rsidRPr="00793766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i wyzwa</w:t>
            </w:r>
            <w:r w:rsidR="009B1F9F" w:rsidRPr="00793766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związan</w:t>
            </w:r>
            <w:r w:rsidR="009B1F9F" w:rsidRPr="00793766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z jakością życia oraz oferty dla mieszkańców. </w:t>
            </w:r>
          </w:p>
          <w:p w:rsidR="00387482" w:rsidRPr="00793766" w:rsidRDefault="00387482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7482" w:rsidRPr="00793766" w:rsidRDefault="00387482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7482" w:rsidRPr="00793766" w:rsidRDefault="00387482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7482" w:rsidRPr="00793766" w:rsidRDefault="00387482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7482" w:rsidRPr="00793766" w:rsidRDefault="00387482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6ED" w:rsidRPr="00793766" w:rsidRDefault="00260DF4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Wskazane </w:t>
            </w:r>
            <w:r w:rsidR="00211DCA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fazy w  układzie celów strategii nie są </w:t>
            </w:r>
            <w:r w:rsidR="00DD4A67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następujące po sobie lecz </w:t>
            </w:r>
            <w:r w:rsidR="00D8053C" w:rsidRPr="00793766">
              <w:rPr>
                <w:rFonts w:asciiTheme="minorHAnsi" w:hAnsiTheme="minorHAnsi" w:cstheme="minorHAnsi"/>
                <w:sz w:val="24"/>
                <w:szCs w:val="24"/>
              </w:rPr>
              <w:t>realizowane</w:t>
            </w:r>
            <w:r w:rsidR="00DD4A67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mają być równolegle z różn</w:t>
            </w:r>
            <w:r w:rsidR="00D8053C" w:rsidRPr="00793766">
              <w:rPr>
                <w:rFonts w:asciiTheme="minorHAnsi" w:hAnsiTheme="minorHAnsi" w:cstheme="minorHAnsi"/>
                <w:sz w:val="24"/>
                <w:szCs w:val="24"/>
              </w:rPr>
              <w:t>ą perspektywą</w:t>
            </w:r>
            <w:r w:rsidR="00DE4779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5C55B3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obejmują cały okres wdrażania strategii. </w:t>
            </w:r>
          </w:p>
          <w:p w:rsidR="002F0E15" w:rsidRPr="00793766" w:rsidRDefault="002F0E15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71B7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F0E15" w:rsidRDefault="002F0E15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Innowacyjność to pojęcie </w:t>
            </w:r>
            <w:r w:rsidR="001B2BE0" w:rsidRPr="00793766">
              <w:rPr>
                <w:rFonts w:asciiTheme="minorHAnsi" w:hAnsiTheme="minorHAnsi" w:cstheme="minorHAnsi"/>
                <w:sz w:val="24"/>
                <w:szCs w:val="24"/>
              </w:rPr>
              <w:t>wykraczające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poz</w:t>
            </w:r>
            <w:r w:rsidR="001B2BE0" w:rsidRPr="0079376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sferę </w:t>
            </w:r>
            <w:r w:rsidR="001B2BE0" w:rsidRPr="00793766">
              <w:rPr>
                <w:rFonts w:asciiTheme="minorHAnsi" w:hAnsiTheme="minorHAnsi" w:cstheme="minorHAnsi"/>
                <w:sz w:val="24"/>
                <w:szCs w:val="24"/>
              </w:rPr>
              <w:t>technologiczną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, to również </w:t>
            </w:r>
            <w:r w:rsidR="001B2BE0" w:rsidRPr="00793766">
              <w:rPr>
                <w:rFonts w:asciiTheme="minorHAnsi" w:hAnsiTheme="minorHAnsi" w:cstheme="minorHAnsi"/>
                <w:sz w:val="24"/>
                <w:szCs w:val="24"/>
              </w:rPr>
              <w:t>działa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="003D37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o charakterze organizacyjnym i </w:t>
            </w:r>
            <w:r w:rsidR="001B2BE0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społecznym. W kierunkach działań </w:t>
            </w:r>
            <w:r w:rsidR="005E0EC2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strategii </w:t>
            </w:r>
            <w:r w:rsidR="00EF42A9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uwzględniono </w:t>
            </w:r>
            <w:r w:rsidR="001B2BE0" w:rsidRPr="00793766">
              <w:rPr>
                <w:rFonts w:asciiTheme="minorHAnsi" w:hAnsiTheme="minorHAnsi" w:cstheme="minorHAnsi"/>
                <w:sz w:val="24"/>
                <w:szCs w:val="24"/>
              </w:rPr>
              <w:t>szeroko rozumi</w:t>
            </w:r>
            <w:r w:rsidR="00EF42A9" w:rsidRPr="00793766">
              <w:rPr>
                <w:rFonts w:asciiTheme="minorHAnsi" w:hAnsiTheme="minorHAnsi" w:cstheme="minorHAnsi"/>
                <w:sz w:val="24"/>
                <w:szCs w:val="24"/>
              </w:rPr>
              <w:t>ane</w:t>
            </w:r>
            <w:r w:rsidR="001B2BE0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zagadnienie innowacji. </w:t>
            </w:r>
            <w:r w:rsidR="000F31D6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971B7" w:rsidRPr="00793766" w:rsidRDefault="00E971B7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54A7" w:rsidRPr="00793766" w:rsidRDefault="0037062A" w:rsidP="00E971B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W strategii wiele aspektów dotyczy jakości życia oraz usług dla mieszkańców. Nie </w:t>
            </w:r>
            <w:r w:rsidR="008905F7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można  jednak ograniczać funkcji miasta do „bycia sypialnią” i należy </w:t>
            </w:r>
            <w:r w:rsidR="0030453C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podnosić jego konkurencyjność poprzez tworzenie nowoczesnej gospodarki oraz usług przyciągających użytkowników z otoczenia. </w:t>
            </w:r>
            <w:r w:rsidR="00D8053C" w:rsidRPr="00793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962BA" w:rsidRPr="00C90BCA" w:rsidRDefault="003962BA" w:rsidP="00E971B7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865CC" w:rsidRPr="0078525F" w:rsidRDefault="001B2050" w:rsidP="0078525F">
      <w:pPr>
        <w:spacing w:before="120" w:after="120" w:line="276" w:lineRule="auto"/>
        <w:ind w:left="-142" w:right="-426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C90BCA">
        <w:rPr>
          <w:rFonts w:asciiTheme="minorHAnsi" w:hAnsiTheme="minorHAnsi" w:cstheme="minorHAnsi"/>
          <w:color w:val="000000" w:themeColor="text1"/>
        </w:rPr>
        <w:t>Z</w:t>
      </w:r>
      <w:r w:rsidR="004865CC" w:rsidRPr="00C90BCA">
        <w:rPr>
          <w:rFonts w:asciiTheme="minorHAnsi" w:hAnsiTheme="minorHAnsi" w:cstheme="minorHAnsi"/>
          <w:color w:val="000000" w:themeColor="text1"/>
        </w:rPr>
        <w:t xml:space="preserve">głoszone w trakcie trwania konsultacji uwagi i wnioski zostały rozpatrzone i zostaną wykorzystane przy opracowaniu końcowego projektu Strategii. </w:t>
      </w:r>
      <w:r w:rsidR="004865CC" w:rsidRPr="00C90BCA">
        <w:rPr>
          <w:rFonts w:asciiTheme="minorHAnsi" w:hAnsiTheme="minorHAnsi" w:cstheme="minorHAnsi"/>
          <w:b/>
          <w:bCs/>
          <w:color w:val="000000" w:themeColor="text1"/>
        </w:rPr>
        <w:t>Ostateczne redakcyjne ujęcie i treść zmian będzie uzależniona od ogólnego kontekstu i zmian w całości dokumentu.</w:t>
      </w:r>
    </w:p>
    <w:p w:rsidR="003962BA" w:rsidRDefault="0078525F" w:rsidP="0078525F">
      <w:pPr>
        <w:spacing w:after="0" w:line="24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Podpisał</w:t>
      </w:r>
    </w:p>
    <w:p w:rsidR="0078525F" w:rsidRDefault="0078525F" w:rsidP="0078525F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Prezydent Miasta</w:t>
      </w:r>
    </w:p>
    <w:p w:rsidR="0078525F" w:rsidRDefault="0078525F" w:rsidP="0078525F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Mariusz Wołosz</w:t>
      </w:r>
    </w:p>
    <w:p w:rsidR="0078525F" w:rsidRPr="00C90BCA" w:rsidRDefault="0078525F" w:rsidP="0078525F">
      <w:pPr>
        <w:spacing w:line="259" w:lineRule="auto"/>
        <w:jc w:val="right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sectPr w:rsidR="0078525F" w:rsidRPr="00C90BCA" w:rsidSect="006445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97" w:rsidRDefault="00133797" w:rsidP="003962BA">
      <w:pPr>
        <w:spacing w:after="0" w:line="240" w:lineRule="auto"/>
      </w:pPr>
      <w:r>
        <w:separator/>
      </w:r>
    </w:p>
  </w:endnote>
  <w:endnote w:type="continuationSeparator" w:id="0">
    <w:p w:rsidR="00133797" w:rsidRDefault="00133797" w:rsidP="0039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172"/>
      <w:docPartObj>
        <w:docPartGallery w:val="Page Numbers (Bottom of Page)"/>
        <w:docPartUnique/>
      </w:docPartObj>
    </w:sdtPr>
    <w:sdtContent>
      <w:p w:rsidR="003B636D" w:rsidRDefault="00413541">
        <w:pPr>
          <w:pStyle w:val="Stopka"/>
          <w:jc w:val="center"/>
        </w:pPr>
        <w:fldSimple w:instr=" PAGE   \* MERGEFORMAT ">
          <w:r w:rsidR="00667EDD">
            <w:rPr>
              <w:noProof/>
            </w:rPr>
            <w:t>2</w:t>
          </w:r>
        </w:fldSimple>
      </w:p>
    </w:sdtContent>
  </w:sdt>
  <w:p w:rsidR="003B636D" w:rsidRDefault="003B6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97" w:rsidRDefault="00133797" w:rsidP="003962BA">
      <w:pPr>
        <w:spacing w:after="0" w:line="240" w:lineRule="auto"/>
      </w:pPr>
      <w:r>
        <w:separator/>
      </w:r>
    </w:p>
  </w:footnote>
  <w:footnote w:type="continuationSeparator" w:id="0">
    <w:p w:rsidR="00133797" w:rsidRDefault="00133797" w:rsidP="0039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C03"/>
    <w:multiLevelType w:val="multilevel"/>
    <w:tmpl w:val="02DE6D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7B5714"/>
    <w:multiLevelType w:val="hybridMultilevel"/>
    <w:tmpl w:val="DA38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38AB"/>
    <w:multiLevelType w:val="multilevel"/>
    <w:tmpl w:val="77488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41301"/>
    <w:multiLevelType w:val="multilevel"/>
    <w:tmpl w:val="9EF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24F5B"/>
    <w:multiLevelType w:val="hybridMultilevel"/>
    <w:tmpl w:val="2D9E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E4F48"/>
    <w:multiLevelType w:val="hybridMultilevel"/>
    <w:tmpl w:val="86C22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03EC"/>
    <w:multiLevelType w:val="multilevel"/>
    <w:tmpl w:val="4286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C62DF"/>
    <w:multiLevelType w:val="hybridMultilevel"/>
    <w:tmpl w:val="9D5E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1446"/>
    <w:multiLevelType w:val="hybridMultilevel"/>
    <w:tmpl w:val="FFB2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CC"/>
    <w:rsid w:val="000354A7"/>
    <w:rsid w:val="000451E1"/>
    <w:rsid w:val="0008167E"/>
    <w:rsid w:val="0008621F"/>
    <w:rsid w:val="00095348"/>
    <w:rsid w:val="000B49E9"/>
    <w:rsid w:val="000F31D6"/>
    <w:rsid w:val="00100703"/>
    <w:rsid w:val="001255B0"/>
    <w:rsid w:val="00126A46"/>
    <w:rsid w:val="00133797"/>
    <w:rsid w:val="00173833"/>
    <w:rsid w:val="001B2050"/>
    <w:rsid w:val="001B2BE0"/>
    <w:rsid w:val="001D36ED"/>
    <w:rsid w:val="001F4B39"/>
    <w:rsid w:val="00211DCA"/>
    <w:rsid w:val="002364CC"/>
    <w:rsid w:val="00260DF4"/>
    <w:rsid w:val="002633EE"/>
    <w:rsid w:val="002B1F5A"/>
    <w:rsid w:val="002D7947"/>
    <w:rsid w:val="002F0E15"/>
    <w:rsid w:val="002F26EC"/>
    <w:rsid w:val="0030453C"/>
    <w:rsid w:val="00331C0D"/>
    <w:rsid w:val="00337FE2"/>
    <w:rsid w:val="00351004"/>
    <w:rsid w:val="0037062A"/>
    <w:rsid w:val="0037350C"/>
    <w:rsid w:val="00387482"/>
    <w:rsid w:val="003962BA"/>
    <w:rsid w:val="00397371"/>
    <w:rsid w:val="003B636D"/>
    <w:rsid w:val="003D3777"/>
    <w:rsid w:val="003E6EF1"/>
    <w:rsid w:val="003F0922"/>
    <w:rsid w:val="004049D9"/>
    <w:rsid w:val="004050E5"/>
    <w:rsid w:val="00413541"/>
    <w:rsid w:val="00420610"/>
    <w:rsid w:val="0044648A"/>
    <w:rsid w:val="00470EE6"/>
    <w:rsid w:val="004865CC"/>
    <w:rsid w:val="004A3626"/>
    <w:rsid w:val="004B45BA"/>
    <w:rsid w:val="00506D54"/>
    <w:rsid w:val="005121A5"/>
    <w:rsid w:val="00563E3A"/>
    <w:rsid w:val="005B4353"/>
    <w:rsid w:val="005C2034"/>
    <w:rsid w:val="005C3DDC"/>
    <w:rsid w:val="005C55B3"/>
    <w:rsid w:val="005E0EC2"/>
    <w:rsid w:val="005F1DE4"/>
    <w:rsid w:val="0060196C"/>
    <w:rsid w:val="00601AAC"/>
    <w:rsid w:val="006059B7"/>
    <w:rsid w:val="006300B6"/>
    <w:rsid w:val="00641226"/>
    <w:rsid w:val="006445A6"/>
    <w:rsid w:val="00655DD4"/>
    <w:rsid w:val="00667EDD"/>
    <w:rsid w:val="00680542"/>
    <w:rsid w:val="00695B1A"/>
    <w:rsid w:val="006A12C8"/>
    <w:rsid w:val="006A3B11"/>
    <w:rsid w:val="006C5ACC"/>
    <w:rsid w:val="006F5653"/>
    <w:rsid w:val="00706799"/>
    <w:rsid w:val="007106C2"/>
    <w:rsid w:val="0071534C"/>
    <w:rsid w:val="00731ABF"/>
    <w:rsid w:val="007818C2"/>
    <w:rsid w:val="0078525F"/>
    <w:rsid w:val="00793766"/>
    <w:rsid w:val="007B11A8"/>
    <w:rsid w:val="007E5150"/>
    <w:rsid w:val="007F670D"/>
    <w:rsid w:val="0083526B"/>
    <w:rsid w:val="00843EEE"/>
    <w:rsid w:val="008905F7"/>
    <w:rsid w:val="00896ECB"/>
    <w:rsid w:val="008F6E2D"/>
    <w:rsid w:val="00902954"/>
    <w:rsid w:val="009339EB"/>
    <w:rsid w:val="00942EAD"/>
    <w:rsid w:val="009863E2"/>
    <w:rsid w:val="009929B6"/>
    <w:rsid w:val="009A332B"/>
    <w:rsid w:val="009A33ED"/>
    <w:rsid w:val="009B1302"/>
    <w:rsid w:val="009B1F9F"/>
    <w:rsid w:val="009B4358"/>
    <w:rsid w:val="009B6665"/>
    <w:rsid w:val="009F3193"/>
    <w:rsid w:val="00A54736"/>
    <w:rsid w:val="00A744F4"/>
    <w:rsid w:val="00A81E44"/>
    <w:rsid w:val="00AA1667"/>
    <w:rsid w:val="00AB3572"/>
    <w:rsid w:val="00AB72C2"/>
    <w:rsid w:val="00B16A4B"/>
    <w:rsid w:val="00B26118"/>
    <w:rsid w:val="00B509D0"/>
    <w:rsid w:val="00B525CF"/>
    <w:rsid w:val="00B74495"/>
    <w:rsid w:val="00BA3493"/>
    <w:rsid w:val="00BA3F57"/>
    <w:rsid w:val="00BA40D5"/>
    <w:rsid w:val="00BB11B3"/>
    <w:rsid w:val="00BC721C"/>
    <w:rsid w:val="00BD57E1"/>
    <w:rsid w:val="00C2088C"/>
    <w:rsid w:val="00C35FE5"/>
    <w:rsid w:val="00C64A60"/>
    <w:rsid w:val="00C7175D"/>
    <w:rsid w:val="00C90BCA"/>
    <w:rsid w:val="00CB5C36"/>
    <w:rsid w:val="00CC1EF9"/>
    <w:rsid w:val="00CF314E"/>
    <w:rsid w:val="00CF518F"/>
    <w:rsid w:val="00D03101"/>
    <w:rsid w:val="00D138D4"/>
    <w:rsid w:val="00D20A11"/>
    <w:rsid w:val="00D2382A"/>
    <w:rsid w:val="00D6475E"/>
    <w:rsid w:val="00D8053C"/>
    <w:rsid w:val="00D971C8"/>
    <w:rsid w:val="00DA38AB"/>
    <w:rsid w:val="00DD4A67"/>
    <w:rsid w:val="00DE4779"/>
    <w:rsid w:val="00DF5AFB"/>
    <w:rsid w:val="00E0405C"/>
    <w:rsid w:val="00E23FCC"/>
    <w:rsid w:val="00E34DE4"/>
    <w:rsid w:val="00E413B3"/>
    <w:rsid w:val="00E44FF6"/>
    <w:rsid w:val="00E50199"/>
    <w:rsid w:val="00E6364A"/>
    <w:rsid w:val="00E85446"/>
    <w:rsid w:val="00E94014"/>
    <w:rsid w:val="00E9469E"/>
    <w:rsid w:val="00E94705"/>
    <w:rsid w:val="00E971B7"/>
    <w:rsid w:val="00ED6B11"/>
    <w:rsid w:val="00EF42A9"/>
    <w:rsid w:val="00F912A6"/>
    <w:rsid w:val="00FA132A"/>
    <w:rsid w:val="00FC30C9"/>
    <w:rsid w:val="00FE25CB"/>
    <w:rsid w:val="00FE2A26"/>
    <w:rsid w:val="00FE555A"/>
    <w:rsid w:val="00FE65C5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C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6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4865CC"/>
  </w:style>
  <w:style w:type="paragraph" w:styleId="Akapitzlist">
    <w:name w:val="List Paragraph"/>
    <w:basedOn w:val="Normalny"/>
    <w:link w:val="AkapitzlistZnak"/>
    <w:uiPriority w:val="34"/>
    <w:qFormat/>
    <w:rsid w:val="004865CC"/>
    <w:pPr>
      <w:ind w:left="720"/>
      <w:contextualSpacing/>
    </w:pPr>
  </w:style>
  <w:style w:type="paragraph" w:customStyle="1" w:styleId="Standard">
    <w:name w:val="Standard"/>
    <w:rsid w:val="005121A5"/>
    <w:pPr>
      <w:suppressAutoHyphens/>
      <w:autoSpaceDN w:val="0"/>
      <w:spacing w:line="256" w:lineRule="auto"/>
    </w:pPr>
    <w:rPr>
      <w:rFonts w:ascii="Calibri" w:eastAsia="Calibri" w:hAnsi="Calibri" w:cs="F"/>
    </w:rPr>
  </w:style>
  <w:style w:type="character" w:customStyle="1" w:styleId="AkapitzlistZnak">
    <w:name w:val="Akapit z listą Znak"/>
    <w:link w:val="Akapitzlist"/>
    <w:uiPriority w:val="34"/>
    <w:qFormat/>
    <w:locked/>
    <w:rsid w:val="006300B6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39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2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5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5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5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61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36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6D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@um.byt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nsultacje.byt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m.bytom.pl/b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mmazurkiewicz</cp:lastModifiedBy>
  <cp:revision>2</cp:revision>
  <dcterms:created xsi:type="dcterms:W3CDTF">2022-11-29T15:14:00Z</dcterms:created>
  <dcterms:modified xsi:type="dcterms:W3CDTF">2022-11-29T15:14:00Z</dcterms:modified>
</cp:coreProperties>
</file>